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0"/>
          <w:szCs w:val="20"/>
          <w:highlight w:val="white"/>
        </w:rPr>
        <w:t>NATUROPATIA E FIORI DI BACH</w:t>
      </w:r>
      <w:r>
        <w:rPr>
          <w:color w:val="333333"/>
          <w:sz w:val="21"/>
          <w:szCs w:val="21"/>
          <w:highlight w:val="white"/>
        </w:rPr>
        <w:t xml:space="preserve"> </w:t>
      </w:r>
    </w:p>
    <w:p w14:paraId="00000003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04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Obiettivi:</w:t>
      </w:r>
    </w:p>
    <w:p w14:paraId="00000005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Gestire e canalizzare le energie, lo stress, la capacità di concentrazione e aumentare il potenziale personale in ambito lavorativo e nelle dinamiche personali</w:t>
      </w:r>
    </w:p>
    <w:p w14:paraId="00000006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07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Programma:</w:t>
      </w:r>
    </w:p>
    <w:p w14:paraId="00000008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Fiori di Bach e Rimedi energetici</w:t>
      </w:r>
    </w:p>
    <w:p w14:paraId="00000009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Riequilibrio emozionale</w:t>
      </w:r>
    </w:p>
    <w:p w14:paraId="0000000A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Percorsi di crescita perso</w:t>
      </w:r>
      <w:r>
        <w:rPr>
          <w:color w:val="333333"/>
          <w:sz w:val="21"/>
          <w:szCs w:val="21"/>
          <w:highlight w:val="white"/>
        </w:rPr>
        <w:t>nale</w:t>
      </w:r>
    </w:p>
    <w:p w14:paraId="0000000B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Tecniche di rilassamento</w:t>
      </w:r>
    </w:p>
    <w:p w14:paraId="0000000C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Trattamenti con campane tibetane</w:t>
      </w:r>
    </w:p>
    <w:p w14:paraId="0000000D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Riflessologia del piede e della mano</w:t>
      </w:r>
    </w:p>
    <w:p w14:paraId="0000000E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 xml:space="preserve">Consulenze educazione alimentare </w:t>
      </w:r>
    </w:p>
    <w:p w14:paraId="0000000F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14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Sedi</w:t>
      </w:r>
    </w:p>
    <w:p w14:paraId="00000015" w14:textId="0AB372C8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Veneto</w:t>
      </w:r>
    </w:p>
    <w:p w14:paraId="00000016" w14:textId="49494BC2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Mesi svolgimento</w:t>
      </w:r>
    </w:p>
    <w:p w14:paraId="00000017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18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Destinatari:</w:t>
      </w:r>
    </w:p>
    <w:p w14:paraId="00000019" w14:textId="77777777" w:rsidR="009C1602" w:rsidRDefault="009C1602">
      <w:pPr>
        <w:spacing w:after="80"/>
        <w:rPr>
          <w:color w:val="333333"/>
          <w:sz w:val="21"/>
          <w:szCs w:val="21"/>
          <w:highlight w:val="white"/>
        </w:rPr>
      </w:pPr>
    </w:p>
    <w:p w14:paraId="0000001A" w14:textId="77777777" w:rsidR="009C1602" w:rsidRDefault="00FC08F9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Docenti scuola infanzia</w:t>
      </w:r>
    </w:p>
    <w:p w14:paraId="0000001B" w14:textId="77777777" w:rsidR="009C1602" w:rsidRDefault="00FC08F9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Docenti scuola primaria</w:t>
      </w:r>
    </w:p>
    <w:p w14:paraId="0000001C" w14:textId="77777777" w:rsidR="009C1602" w:rsidRDefault="00FC08F9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Docenti scuola secondaria I grado</w:t>
      </w:r>
    </w:p>
    <w:p w14:paraId="0000001D" w14:textId="77777777" w:rsidR="009C1602" w:rsidRDefault="00FC08F9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Docenti scuola secondaria II grado</w:t>
      </w:r>
    </w:p>
    <w:p w14:paraId="0000001E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Personale ATA</w:t>
      </w:r>
    </w:p>
    <w:p w14:paraId="0000001F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20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21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Metodologie:</w:t>
      </w:r>
    </w:p>
    <w:p w14:paraId="00000022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Aula- lezioni frontali</w:t>
      </w:r>
    </w:p>
    <w:p w14:paraId="00000023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24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Materiali</w:t>
      </w:r>
    </w:p>
    <w:p w14:paraId="00000025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Dispense</w:t>
      </w:r>
    </w:p>
    <w:p w14:paraId="00000026" w14:textId="78693856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 xml:space="preserve">Altro: </w:t>
      </w:r>
      <w:r>
        <w:rPr>
          <w:color w:val="333333"/>
          <w:sz w:val="21"/>
          <w:szCs w:val="21"/>
          <w:highlight w:val="white"/>
        </w:rPr>
        <w:t>laboratorio di sperimentazione pratica</w:t>
      </w:r>
    </w:p>
    <w:p w14:paraId="00000027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28" w14:textId="77777777" w:rsidR="009C1602" w:rsidRDefault="00FC08F9">
      <w:pPr>
        <w:spacing w:before="240" w:line="240" w:lineRule="auto"/>
        <w:rPr>
          <w:color w:val="333333"/>
          <w:sz w:val="21"/>
          <w:szCs w:val="21"/>
          <w:highlight w:val="white"/>
        </w:rPr>
      </w:pPr>
      <w:r>
        <w:t>costo a carico dei destinatari 160</w:t>
      </w:r>
    </w:p>
    <w:p w14:paraId="00000029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Verifiche finali</w:t>
      </w:r>
    </w:p>
    <w:p w14:paraId="0000002A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Test a risposta multipla</w:t>
      </w:r>
    </w:p>
    <w:p w14:paraId="0000002B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Mappatura delle competenze:</w:t>
      </w:r>
    </w:p>
    <w:p w14:paraId="0000002C" w14:textId="77777777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>sviluppare i principi fondatori d</w:t>
      </w:r>
      <w:r>
        <w:rPr>
          <w:color w:val="333333"/>
          <w:sz w:val="21"/>
          <w:szCs w:val="21"/>
          <w:highlight w:val="white"/>
        </w:rPr>
        <w:t>ella personalità : armonia, rispetto, purezza, serenità, apprendere le prime nozioni di una tecnica di rilassamento e riequilibrio energetico, utile su di sé, sugli amici e sui familiari, accrescere la centratura sulle capacità di crescita personale, accre</w:t>
      </w:r>
      <w:r>
        <w:rPr>
          <w:color w:val="333333"/>
          <w:sz w:val="21"/>
          <w:szCs w:val="21"/>
          <w:highlight w:val="white"/>
        </w:rPr>
        <w:t>scere la conoscenza e capacità di interpretare i fenomeni sulla base dei modelli culturali acquisiti (Zen e MTC) , migliorare la padronanza del proprio equilibrio psicofisico e a una migliore percezione dei fenomeni vitali vissuti in prima persona, accresc</w:t>
      </w:r>
      <w:r>
        <w:rPr>
          <w:color w:val="333333"/>
          <w:sz w:val="21"/>
          <w:szCs w:val="21"/>
          <w:highlight w:val="white"/>
        </w:rPr>
        <w:t>ere la capacità di gestione dello stress lavorativo,  accrescere la capacità di gestione della concentrazione in aula, accrescere la predisposizione all'ascolto.</w:t>
      </w:r>
    </w:p>
    <w:p w14:paraId="0000002D" w14:textId="77777777" w:rsidR="009C1602" w:rsidRDefault="009C1602">
      <w:pPr>
        <w:rPr>
          <w:color w:val="333333"/>
          <w:sz w:val="21"/>
          <w:szCs w:val="21"/>
          <w:highlight w:val="white"/>
        </w:rPr>
      </w:pPr>
    </w:p>
    <w:p w14:paraId="0000002F" w14:textId="50F59530" w:rsidR="009C1602" w:rsidRDefault="00FC08F9">
      <w:pPr>
        <w:rPr>
          <w:color w:val="333333"/>
          <w:sz w:val="21"/>
          <w:szCs w:val="21"/>
          <w:highlight w:val="white"/>
        </w:rPr>
      </w:pPr>
      <w:r>
        <w:rPr>
          <w:color w:val="333333"/>
          <w:sz w:val="21"/>
          <w:szCs w:val="21"/>
          <w:highlight w:val="white"/>
        </w:rPr>
        <w:t xml:space="preserve">Relatore: </w:t>
      </w:r>
    </w:p>
    <w:sectPr w:rsidR="009C16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02"/>
    <w:rsid w:val="009C1602"/>
    <w:rsid w:val="00F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854B"/>
  <w15:docId w15:val="{DF288DE4-99E7-4AFE-8D60-E7D0A13F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Parolin Parolin</cp:lastModifiedBy>
  <cp:revision>2</cp:revision>
  <dcterms:created xsi:type="dcterms:W3CDTF">2021-09-26T17:08:00Z</dcterms:created>
  <dcterms:modified xsi:type="dcterms:W3CDTF">2021-09-26T17:11:00Z</dcterms:modified>
</cp:coreProperties>
</file>