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D0A76" w14:textId="77777777" w:rsidR="00811505" w:rsidRDefault="00811505" w:rsidP="00811505">
      <w:pPr>
        <w:spacing w:before="100" w:beforeAutospacing="1" w:after="100" w:afterAutospacing="1" w:line="240" w:lineRule="auto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</w:pPr>
    </w:p>
    <w:p w14:paraId="6D583DC5" w14:textId="79D5AFF6" w:rsidR="00811505" w:rsidRPr="00811505" w:rsidRDefault="00811505" w:rsidP="00811505">
      <w:pPr>
        <w:spacing w:before="100" w:beforeAutospacing="1" w:after="100" w:afterAutospacing="1" w:line="240" w:lineRule="auto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36"/>
          <w:szCs w:val="36"/>
          <w:lang w:eastAsia="it-IT"/>
          <w14:ligatures w14:val="none"/>
        </w:rPr>
      </w:pPr>
      <w:r w:rsidRPr="00811505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36"/>
          <w:szCs w:val="36"/>
          <w:lang w:eastAsia="it-IT"/>
          <w14:ligatures w14:val="none"/>
        </w:rPr>
        <w:t>Quale pensione per i professionisti?</w:t>
      </w:r>
    </w:p>
    <w:p w14:paraId="4C519FD5" w14:textId="3D4724B6" w:rsidR="00811505" w:rsidRPr="00A67E0C" w:rsidRDefault="00811505" w:rsidP="00811505">
      <w:pPr>
        <w:spacing w:before="100" w:beforeAutospacing="1" w:after="100" w:afterAutospacing="1" w:line="240" w:lineRule="auto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  <w:t xml:space="preserve">Molti ci chiedono come vengono valorizzati i versamenti INPS che i professionisti con </w:t>
      </w:r>
      <w:proofErr w:type="spellStart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  <w:t>p.iva</w:t>
      </w:r>
      <w:proofErr w:type="spellEnd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  <w:t xml:space="preserve"> forfettaria versano nella Gestione Separata.</w:t>
      </w:r>
    </w:p>
    <w:p w14:paraId="726D9D58" w14:textId="77777777" w:rsidR="00811505" w:rsidRPr="00A67E0C" w:rsidRDefault="00811505" w:rsidP="00811505">
      <w:pPr>
        <w:spacing w:before="240" w:after="240" w:line="240" w:lineRule="auto"/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  <w:t>Senza entrare nei particolari vista la complessità della materia e la molteplicità delle situazioni:</w:t>
      </w:r>
    </w:p>
    <w:p w14:paraId="723A398B" w14:textId="08EA6605" w:rsidR="00811505" w:rsidRPr="00A67E0C" w:rsidRDefault="00811505" w:rsidP="00811505">
      <w:pPr>
        <w:spacing w:before="240" w:after="240" w:line="240" w:lineRule="auto"/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  <w:t>   </w:t>
      </w:r>
      <w:r w:rsidRPr="00A67E0C">
        <w:rPr>
          <w:rFonts w:ascii="Lucida Sans Unicode" w:eastAsia="Times New Roman" w:hAnsi="Lucida Sans Unicode" w:cs="Lucida Sans Unicode"/>
          <w:b/>
          <w:bCs/>
          <w:color w:val="F52D0A"/>
          <w:kern w:val="0"/>
          <w:sz w:val="20"/>
          <w:szCs w:val="20"/>
          <w:lang w:eastAsia="it-IT"/>
          <w14:ligatures w14:val="none"/>
        </w:rPr>
        <w:t>a)   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 xml:space="preserve">Per l’anno 2024 i professionisti con </w:t>
      </w:r>
      <w:proofErr w:type="spellStart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p.iva</w:t>
      </w:r>
      <w:proofErr w:type="spellEnd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 xml:space="preserve"> forfettaria versano il 26,07% dell’imponibile nella Gestione Separata dell’Inps. </w:t>
      </w:r>
      <w:r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L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’imponibile si ottiene togliendo lo sconto forfettario dal fatturato annuale.</w:t>
      </w:r>
    </w:p>
    <w:p w14:paraId="3EBE7E03" w14:textId="06AAEFF7" w:rsidR="00811505" w:rsidRPr="00A67E0C" w:rsidRDefault="00811505" w:rsidP="00811505">
      <w:pPr>
        <w:spacing w:before="100" w:beforeAutospacing="1" w:after="100" w:afterAutospacing="1" w:line="240" w:lineRule="auto"/>
        <w:outlineLvl w:val="4"/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 xml:space="preserve">Es. se fatturo 10.000€ con codice </w:t>
      </w:r>
      <w:proofErr w:type="spellStart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ateco</w:t>
      </w:r>
      <w:proofErr w:type="spellEnd"/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 xml:space="preserve"> 960909 (il più usato dai ns. soci), ottengo l’imponibile togliendo un terzo (il 33%) dall’ammontare del fatturato. Quindi l’imponibile è 6.700 € e verso all’INPS il 26,07%</w:t>
      </w:r>
      <w:r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;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 xml:space="preserve"> cioè1.746€</w:t>
      </w:r>
    </w:p>
    <w:p w14:paraId="2CF4FDF3" w14:textId="1F864771" w:rsidR="00811505" w:rsidRPr="00A67E0C" w:rsidRDefault="00811505" w:rsidP="00811505">
      <w:pPr>
        <w:spacing w:before="240" w:after="240" w:line="240" w:lineRule="auto"/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  <w:t>    </w:t>
      </w:r>
      <w:r w:rsidRPr="00A67E0C">
        <w:rPr>
          <w:rFonts w:ascii="Lucida Sans Unicode" w:eastAsia="Times New Roman" w:hAnsi="Lucida Sans Unicode" w:cs="Lucida Sans Unicode"/>
          <w:b/>
          <w:bCs/>
          <w:color w:val="F21307"/>
          <w:kern w:val="0"/>
          <w:sz w:val="20"/>
          <w:szCs w:val="20"/>
          <w:lang w:eastAsia="it-IT"/>
          <w14:ligatures w14:val="none"/>
        </w:rPr>
        <w:t>b)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  Esiste un minimo versamento annuo che dà diritto al conteggio di una intera annualità di pensione. Viene fissato dall’INPS ogni anno in gennaio.</w:t>
      </w:r>
    </w:p>
    <w:p w14:paraId="4DBF2A58" w14:textId="77777777" w:rsidR="00811505" w:rsidRPr="00A67E0C" w:rsidRDefault="00811505" w:rsidP="00811505">
      <w:pPr>
        <w:spacing w:before="240" w:after="240" w:line="240" w:lineRule="auto"/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  <w:t>    </w:t>
      </w:r>
      <w:r w:rsidRPr="00A67E0C">
        <w:rPr>
          <w:rFonts w:ascii="Lucida Sans Unicode" w:eastAsia="Times New Roman" w:hAnsi="Lucida Sans Unicode" w:cs="Lucida Sans Unicode"/>
          <w:b/>
          <w:bCs/>
          <w:color w:val="F50C0C"/>
          <w:kern w:val="0"/>
          <w:sz w:val="20"/>
          <w:szCs w:val="20"/>
          <w:lang w:eastAsia="it-IT"/>
          <w14:ligatures w14:val="none"/>
        </w:rPr>
        <w:t>c)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  Se non si raggiunge la quota di versamento minimo annuale, invece di aver accreditato una intera annualità, si avranno accreditati un numero di mesi inferiore a 12 in proporzione (11 mesi, 10 mesi o meno)</w:t>
      </w:r>
    </w:p>
    <w:p w14:paraId="39C84E5B" w14:textId="77777777" w:rsidR="00811505" w:rsidRPr="00A67E0C" w:rsidRDefault="00811505" w:rsidP="00811505">
      <w:pPr>
        <w:spacing w:before="240" w:after="240" w:line="240" w:lineRule="auto"/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color w:val="3F3F3F"/>
          <w:kern w:val="0"/>
          <w:sz w:val="20"/>
          <w:szCs w:val="20"/>
          <w:lang w:eastAsia="it-IT"/>
          <w14:ligatures w14:val="none"/>
        </w:rPr>
        <w:t>   </w:t>
      </w:r>
      <w:r w:rsidRPr="00A67E0C">
        <w:rPr>
          <w:rFonts w:ascii="Lucida Sans Unicode" w:eastAsia="Times New Roman" w:hAnsi="Lucida Sans Unicode" w:cs="Lucida Sans Unicode"/>
          <w:b/>
          <w:bCs/>
          <w:color w:val="F50A0A"/>
          <w:kern w:val="0"/>
          <w:sz w:val="20"/>
          <w:szCs w:val="20"/>
          <w:lang w:eastAsia="it-IT"/>
          <w14:ligatures w14:val="none"/>
        </w:rPr>
        <w:t> d)</w:t>
      </w: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0"/>
          <w:szCs w:val="20"/>
          <w:lang w:eastAsia="it-IT"/>
          <w14:ligatures w14:val="none"/>
        </w:rPr>
        <w:t>  Se i versamenti sono superiori al minimo, l’accredito dell’annualità può venir raggiunto in un numero di mesi inferiore a 12.</w:t>
      </w:r>
    </w:p>
    <w:p w14:paraId="15F3B03D" w14:textId="5472D179" w:rsidR="005C7349" w:rsidRDefault="00811505" w:rsidP="00811505">
      <w:pPr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</w:pPr>
      <w:r w:rsidRPr="00A67E0C"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  <w:t>In conclusione, il timore espresso da molti soci di perdere i versamenti Inps se gli importi sono insufficienti, non ha fondamento.</w:t>
      </w:r>
    </w:p>
    <w:p w14:paraId="5903085A" w14:textId="77777777" w:rsidR="00A213B0" w:rsidRDefault="00A213B0" w:rsidP="00811505">
      <w:pPr>
        <w:rPr>
          <w:rFonts w:ascii="Lucida Sans Unicode" w:eastAsia="Times New Roman" w:hAnsi="Lucida Sans Unicode" w:cs="Lucida Sans Unicode"/>
          <w:b/>
          <w:bCs/>
          <w:color w:val="3F3F3F"/>
          <w:kern w:val="0"/>
          <w:sz w:val="27"/>
          <w:szCs w:val="27"/>
          <w:lang w:eastAsia="it-IT"/>
          <w14:ligatures w14:val="none"/>
        </w:rPr>
      </w:pPr>
    </w:p>
    <w:p w14:paraId="04926B74" w14:textId="178EB6AF" w:rsidR="00A213B0" w:rsidRDefault="00A213B0" w:rsidP="00811505">
      <w:pPr>
        <w:rPr>
          <w:rFonts w:ascii="Lucida Sans Unicode" w:eastAsia="Times New Roman" w:hAnsi="Lucida Sans Unicode" w:cs="Lucida Sans Unicode"/>
          <w:i/>
          <w:iCs/>
          <w:color w:val="3F3F3F"/>
          <w:kern w:val="0"/>
          <w:sz w:val="27"/>
          <w:szCs w:val="27"/>
          <w:lang w:eastAsia="it-IT"/>
          <w14:ligatures w14:val="none"/>
        </w:rPr>
      </w:pPr>
      <w:r w:rsidRPr="00A213B0">
        <w:rPr>
          <w:rFonts w:ascii="Lucida Sans Unicode" w:eastAsia="Times New Roman" w:hAnsi="Lucida Sans Unicode" w:cs="Lucida Sans Unicode"/>
          <w:i/>
          <w:iCs/>
          <w:color w:val="3F3F3F"/>
          <w:kern w:val="0"/>
          <w:sz w:val="27"/>
          <w:szCs w:val="27"/>
          <w:lang w:eastAsia="it-IT"/>
          <w14:ligatures w14:val="none"/>
        </w:rPr>
        <w:t>Ecco i valori fissati per l’anno 2024</w:t>
      </w:r>
    </w:p>
    <w:tbl>
      <w:tblPr>
        <w:tblW w:w="1062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2568"/>
        <w:gridCol w:w="2048"/>
        <w:gridCol w:w="2126"/>
        <w:gridCol w:w="2258"/>
      </w:tblGrid>
      <w:tr w:rsidR="00A213B0" w:rsidRPr="00A213B0" w14:paraId="7937F1D4" w14:textId="77777777" w:rsidTr="00A213B0">
        <w:trPr>
          <w:trHeight w:val="484"/>
        </w:trPr>
        <w:tc>
          <w:tcPr>
            <w:tcW w:w="106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74A3D" w14:textId="77777777" w:rsidR="00A213B0" w:rsidRPr="00A213B0" w:rsidRDefault="00A213B0" w:rsidP="00A213B0">
            <w:pPr>
              <w:spacing w:after="0" w:line="240" w:lineRule="auto"/>
              <w:ind w:left="-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contributi Inps minimi per conteggio annualità intera pensione anno 2024</w:t>
            </w:r>
          </w:p>
        </w:tc>
      </w:tr>
      <w:tr w:rsidR="00A213B0" w:rsidRPr="00A213B0" w14:paraId="07E5F77D" w14:textId="77777777" w:rsidTr="00D706F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52F7" w14:textId="77777777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BECC" w14:textId="77777777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versamento annuo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75B1" w14:textId="13D39F75" w:rsidR="00A213B0" w:rsidRPr="00A213B0" w:rsidRDefault="009B7657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I</w:t>
            </w:r>
            <w:r w:rsidR="00A213B0"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mponibile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annuo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027C" w14:textId="6DC5B751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fatturato </w:t>
            </w:r>
            <w:r w:rsidR="00A60A1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con sconto 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67%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C1A34" w14:textId="5DE3BB42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fatturato </w:t>
            </w:r>
            <w:r w:rsidR="00A60A1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con sconto 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7</w:t>
            </w:r>
            <w:r w:rsidR="009B76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8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%</w:t>
            </w:r>
          </w:p>
        </w:tc>
      </w:tr>
      <w:tr w:rsidR="00A213B0" w:rsidRPr="00A213B0" w14:paraId="3A1D3019" w14:textId="77777777" w:rsidTr="00D706F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2B89" w14:textId="77777777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valori annui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84A" w14:textId="77777777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4.801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0B2" w14:textId="6419D968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18.41</w:t>
            </w:r>
            <w:r w:rsidR="009B76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6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497F" w14:textId="45392DFB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27.48</w:t>
            </w:r>
            <w:r w:rsidR="009B76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7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75824" w14:textId="4EC6B07E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23.6</w:t>
            </w:r>
            <w:r w:rsidR="009B76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10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</w:tr>
      <w:tr w:rsidR="00A213B0" w:rsidRPr="00A213B0" w14:paraId="21030724" w14:textId="77777777" w:rsidTr="00D706F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2D1" w14:textId="77777777" w:rsidR="00A213B0" w:rsidRPr="00A213B0" w:rsidRDefault="00A213B0" w:rsidP="00A21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valori mensili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8655" w14:textId="77777777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400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3BC" w14:textId="77777777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1.535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2F9" w14:textId="3738F97D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2.29</w:t>
            </w:r>
            <w:r w:rsidR="009B76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C9813" w14:textId="77777777" w:rsidR="00A213B0" w:rsidRPr="00A213B0" w:rsidRDefault="00A213B0" w:rsidP="00D706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1.967 </w:t>
            </w:r>
          </w:p>
        </w:tc>
      </w:tr>
    </w:tbl>
    <w:p w14:paraId="762CEF04" w14:textId="77777777" w:rsidR="00A213B0" w:rsidRPr="00A213B0" w:rsidRDefault="00A213B0" w:rsidP="00811505"/>
    <w:sectPr w:rsidR="00A213B0" w:rsidRPr="00A213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05"/>
    <w:rsid w:val="001745E9"/>
    <w:rsid w:val="003325F9"/>
    <w:rsid w:val="005C7349"/>
    <w:rsid w:val="00811505"/>
    <w:rsid w:val="009B7657"/>
    <w:rsid w:val="00A213B0"/>
    <w:rsid w:val="00A60A1A"/>
    <w:rsid w:val="00A940EC"/>
    <w:rsid w:val="00C9035D"/>
    <w:rsid w:val="00D706FE"/>
    <w:rsid w:val="00E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21A9"/>
  <w15:chartTrackingRefBased/>
  <w15:docId w15:val="{BD5E4032-1348-44F3-B8BB-991C8FFD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505"/>
  </w:style>
  <w:style w:type="paragraph" w:styleId="Titolo1">
    <w:name w:val="heading 1"/>
    <w:basedOn w:val="Normale"/>
    <w:next w:val="Normale"/>
    <w:link w:val="Titolo1Carattere"/>
    <w:uiPriority w:val="9"/>
    <w:qFormat/>
    <w:rsid w:val="0081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15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15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5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5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5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5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5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15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5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5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1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2</cp:revision>
  <dcterms:created xsi:type="dcterms:W3CDTF">2024-09-19T17:11:00Z</dcterms:created>
  <dcterms:modified xsi:type="dcterms:W3CDTF">2024-09-19T17:11:00Z</dcterms:modified>
</cp:coreProperties>
</file>